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proofErr w:type="spellStart"/>
            <w:r w:rsidRPr="0032226F">
              <w:rPr>
                <w:rFonts w:ascii="Book Antiqua" w:hAnsi="Book Antiqua" w:cs="Arial"/>
                <w:b/>
                <w:sz w:val="22"/>
                <w:szCs w:val="22"/>
              </w:rPr>
              <w:t>αρίθμ</w:t>
            </w:r>
            <w:proofErr w:type="spellEnd"/>
            <w:r w:rsidRPr="0032226F">
              <w:rPr>
                <w:rFonts w:ascii="Book Antiqua" w:hAnsi="Book Antiqua" w:cs="Arial"/>
                <w:b/>
                <w:sz w:val="22"/>
                <w:szCs w:val="22"/>
              </w:rPr>
              <w:t xml:space="preserve">.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proofErr w:type="spellStart"/>
      <w:r w:rsidR="006209E2" w:rsidRPr="00C15C9F">
        <w:rPr>
          <w:rFonts w:ascii="Arial" w:hAnsi="Arial" w:cs="Arial"/>
          <w:b/>
          <w:i/>
          <w:iCs/>
          <w:color w:val="4BACC6" w:themeColor="accent5"/>
          <w:sz w:val="20"/>
          <w:szCs w:val="20"/>
          <w:lang w:val="en-US"/>
        </w:rPr>
        <w:t>deminimis</w:t>
      </w:r>
      <w:proofErr w:type="spellEnd"/>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r w:rsidR="00B84625" w:rsidRPr="00C15C9F">
        <w:rPr>
          <w:rFonts w:ascii="Arial" w:hAnsi="Arial" w:cs="Arial"/>
          <w:b/>
          <w:sz w:val="20"/>
          <w:szCs w:val="20"/>
        </w:rPr>
        <w:t>, αθροιζόμενη με οποιαδήποτε άλλη ενίσχυση ήσσονος σημασίας 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xml:space="preserve">. Αποδέχομαι οποιονδήποτε σχετικό έλεγχο για την εξακρίβωση των δηλωθέντων στοιχείων από τις αρμόδιες εθνικές ή </w:t>
      </w:r>
      <w:proofErr w:type="spellStart"/>
      <w:r w:rsidR="00B84625" w:rsidRPr="00C15C9F">
        <w:rPr>
          <w:rFonts w:ascii="Arial" w:hAnsi="Arial" w:cs="Arial"/>
          <w:b/>
          <w:sz w:val="20"/>
          <w:szCs w:val="20"/>
        </w:rPr>
        <w:t>ενωσιακές</w:t>
      </w:r>
      <w:proofErr w:type="spellEnd"/>
      <w:r w:rsidR="00B84625" w:rsidRPr="00C15C9F">
        <w:rPr>
          <w:rFonts w:ascii="Arial" w:hAnsi="Arial" w:cs="Arial"/>
          <w:b/>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B400" w14:textId="77777777" w:rsidR="00CC653D" w:rsidRDefault="00CC653D">
      <w:r>
        <w:separator/>
      </w:r>
    </w:p>
  </w:endnote>
  <w:endnote w:type="continuationSeparator" w:id="0">
    <w:p w14:paraId="0B37F16E" w14:textId="77777777" w:rsidR="00CC653D" w:rsidRDefault="00CC653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BB6280">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499C" w14:textId="77777777" w:rsidR="00CC653D" w:rsidRDefault="00CC653D">
      <w:r>
        <w:separator/>
      </w:r>
    </w:p>
  </w:footnote>
  <w:footnote w:type="continuationSeparator" w:id="0">
    <w:p w14:paraId="72E4BD51" w14:textId="77777777" w:rsidR="00CC653D" w:rsidRDefault="00CC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7538B"/>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44A6"/>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280"/>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C653D"/>
    <w:rsid w:val="00CD2EEC"/>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FD81493-00AB-4E8E-9483-4703DD24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cp:lastModifiedBy>
  <cp:revision>2</cp:revision>
  <cp:lastPrinted>2024-07-18T09:33:00Z</cp:lastPrinted>
  <dcterms:created xsi:type="dcterms:W3CDTF">2025-07-25T10:14:00Z</dcterms:created>
  <dcterms:modified xsi:type="dcterms:W3CDTF">2025-07-25T10:14:00Z</dcterms:modified>
</cp:coreProperties>
</file>